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05867" w:themeColor="accent5" w:themeShade="7F"/>
  <w:body>
    <w:p w:rsidR="00F9601E" w:rsidRPr="00DE7762" w:rsidRDefault="00F9601E" w:rsidP="00DE7762">
      <w:pPr>
        <w:bidi/>
        <w:spacing w:line="276" w:lineRule="auto"/>
        <w:jc w:val="both"/>
        <w:rPr>
          <w:color w:val="92D050"/>
          <w:sz w:val="32"/>
          <w:szCs w:val="32"/>
          <w:rtl/>
          <w:lang w:val="fr-FR" w:bidi="ar-MA"/>
        </w:rPr>
      </w:pPr>
      <w:r w:rsidRPr="00DE7762">
        <w:rPr>
          <w:rFonts w:hint="cs"/>
          <w:color w:val="92D050"/>
          <w:sz w:val="32"/>
          <w:szCs w:val="32"/>
          <w:rtl/>
          <w:lang w:val="fr-FR" w:bidi="ar-MA"/>
        </w:rPr>
        <w:t xml:space="preserve">    لم تشتهر الفلسفة بشئ اشتهارها بممارسة السؤال، ولم يطبق المشتغلون بها على شئ إطباقهم على هدا الوصف، لكن ما أن نتأمل هده الحقيقة قليلا، حتى نتبين أن السؤال الفلسفي لم يكن شكلا واحدا، وإنما كان أشكالا اختلفت باختلاف أطوار هده الممارسة، ولا يخفى أن أبرز هده الأشكال شكلان اثنان </w:t>
      </w:r>
      <w:r w:rsidRPr="00DE7762">
        <w:rPr>
          <w:color w:val="92D050"/>
          <w:sz w:val="32"/>
          <w:szCs w:val="32"/>
          <w:lang w:val="fr-FR" w:bidi="ar-MA"/>
        </w:rPr>
        <w:t>:</w:t>
      </w:r>
      <w:r w:rsidRPr="00DE7762">
        <w:rPr>
          <w:rFonts w:hint="cs"/>
          <w:color w:val="92D050"/>
          <w:sz w:val="32"/>
          <w:szCs w:val="32"/>
          <w:rtl/>
          <w:lang w:val="fr-FR" w:bidi="ar-MA"/>
        </w:rPr>
        <w:t xml:space="preserve"> السؤال القديم الذي اختص به الطور "اليوناني"، والسؤال الحديث الذي ميز الطور "الأوروب</w:t>
      </w:r>
      <w:r w:rsidRPr="00DE7762">
        <w:rPr>
          <w:color w:val="92D050"/>
          <w:sz w:val="32"/>
          <w:szCs w:val="32"/>
          <w:rtl/>
          <w:lang w:val="fr-FR" w:bidi="ar-MA"/>
        </w:rPr>
        <w:t>ي</w:t>
      </w:r>
      <w:r w:rsidRPr="00DE7762">
        <w:rPr>
          <w:rFonts w:hint="cs"/>
          <w:color w:val="92D050"/>
          <w:sz w:val="32"/>
          <w:szCs w:val="32"/>
          <w:rtl/>
          <w:lang w:val="fr-FR" w:bidi="ar-MA"/>
        </w:rPr>
        <w:t>".</w:t>
      </w:r>
    </w:p>
    <w:p w:rsidR="00F9601E" w:rsidRPr="00DE7762" w:rsidRDefault="00F9601E" w:rsidP="00DE7762">
      <w:pPr>
        <w:bidi/>
        <w:spacing w:line="276" w:lineRule="auto"/>
        <w:jc w:val="both"/>
        <w:rPr>
          <w:color w:val="92D050"/>
          <w:sz w:val="32"/>
          <w:szCs w:val="32"/>
          <w:rtl/>
          <w:lang w:val="fr-FR" w:bidi="ar-MA"/>
        </w:rPr>
      </w:pPr>
      <w:r w:rsidRPr="00DE7762">
        <w:rPr>
          <w:rFonts w:hint="cs"/>
          <w:color w:val="92D050"/>
          <w:sz w:val="32"/>
          <w:szCs w:val="32"/>
          <w:rtl/>
          <w:lang w:val="fr-FR" w:bidi="ar-MA"/>
        </w:rPr>
        <w:t>أما السؤال الفلسفي اليوناني القديم، فقد كان عبارة عن فحص، ومقتضى الفحص هو أن يختبر السائل دعوى محاوره بأن يلقي عليه أسئلة تضطره إلى أجوبة تؤول في الغالب إلى إبطال دعواه، وخير شاهد على هدا الفحص الفلسفي ممارسة سقراط للسؤال، فقد كان دأبه أن يبادر أحد (بفتح الدال) مواطنيه بسؤال عام عن مفهوم مأخوذ من مجال الأخلاق على الخصوص، حتى ادا تلقى منه جوابا معينا، ألقى عليه مزيدا من الأسئلة الواضحة التي لا يجد المحاور بدا من الرد عليها بالإيجاب، معتقدا أن هدا الرد لا يضر في شئ جوابه الأول، فادا فرغ سقراط من أسئلته التي قد تطول و تتشعب، مضى إلى الجمع بين أجوبة هدا المحاور المختلفة، مبرزا التناقض الصريح بين جوابه الأول وأجوبته الاضطرارية اللاحقة.</w:t>
      </w:r>
    </w:p>
    <w:p w:rsidR="00F9601E" w:rsidRPr="00DE7762" w:rsidRDefault="00F9601E" w:rsidP="00DE7762">
      <w:pPr>
        <w:bidi/>
        <w:spacing w:line="276" w:lineRule="auto"/>
        <w:jc w:val="both"/>
        <w:rPr>
          <w:rFonts w:hint="cs"/>
          <w:color w:val="92D050"/>
          <w:sz w:val="32"/>
          <w:szCs w:val="32"/>
          <w:rtl/>
          <w:lang w:val="fr-FR" w:bidi="ar-MA"/>
        </w:rPr>
      </w:pPr>
      <w:r w:rsidRPr="00DE7762">
        <w:rPr>
          <w:rFonts w:hint="cs"/>
          <w:color w:val="92D050"/>
          <w:sz w:val="32"/>
          <w:szCs w:val="32"/>
          <w:rtl/>
          <w:lang w:val="fr-FR" w:bidi="ar-MA"/>
        </w:rPr>
        <w:t xml:space="preserve">    وأما السؤال الفلسفي الأوروب</w:t>
      </w:r>
      <w:r w:rsidRPr="00DE7762">
        <w:rPr>
          <w:color w:val="92D050"/>
          <w:sz w:val="32"/>
          <w:szCs w:val="32"/>
          <w:rtl/>
          <w:lang w:val="fr-FR" w:bidi="ar-MA"/>
        </w:rPr>
        <w:t>ي</w:t>
      </w:r>
      <w:r w:rsidRPr="00DE7762">
        <w:rPr>
          <w:rFonts w:hint="cs"/>
          <w:color w:val="92D050"/>
          <w:sz w:val="32"/>
          <w:szCs w:val="32"/>
          <w:rtl/>
          <w:lang w:val="fr-FR" w:bidi="ar-MA"/>
        </w:rPr>
        <w:t xml:space="preserve"> الحديث، فهو عبارة عن نقد، ومقتضى النقد هو أن لا يسلم الناظر بأية قضية </w:t>
      </w:r>
      <w:r w:rsidRPr="00DE7762">
        <w:rPr>
          <w:color w:val="92D050"/>
          <w:sz w:val="32"/>
          <w:szCs w:val="32"/>
          <w:rtl/>
          <w:lang w:val="fr-FR" w:bidi="ar-MA"/>
        </w:rPr>
        <w:t>–</w:t>
      </w:r>
      <w:r w:rsidRPr="00DE7762">
        <w:rPr>
          <w:rFonts w:hint="cs"/>
          <w:color w:val="92D050"/>
          <w:sz w:val="32"/>
          <w:szCs w:val="32"/>
          <w:rtl/>
          <w:lang w:val="fr-FR" w:bidi="ar-MA"/>
        </w:rPr>
        <w:t xml:space="preserve"> كائنة ما كانت </w:t>
      </w:r>
      <w:r w:rsidRPr="00DE7762">
        <w:rPr>
          <w:color w:val="92D050"/>
          <w:sz w:val="32"/>
          <w:szCs w:val="32"/>
          <w:rtl/>
          <w:lang w:val="fr-FR" w:bidi="ar-MA"/>
        </w:rPr>
        <w:t>–</w:t>
      </w:r>
      <w:r w:rsidRPr="00DE7762">
        <w:rPr>
          <w:rFonts w:hint="cs"/>
          <w:color w:val="92D050"/>
          <w:sz w:val="32"/>
          <w:szCs w:val="32"/>
          <w:rtl/>
          <w:lang w:val="fr-FR" w:bidi="ar-MA"/>
        </w:rPr>
        <w:t xml:space="preserve"> حتى يقلبها على وجوهها المختلفة، ويتحقق من تمام صدقها، متوسلا في دلك بمعايير العقل وحدها، و الفرق بين "النقد" و "الفحص" هو أن الأول يوجب النظر في المعرفة ويقصد الوقوف على حدود العقل، في حين أن الثاني يوجب الدخول في الحوار ويقصد إفحام المحاور، وخير مثال على هدا النقد فلسفة "كانط"، حيث انه دهب به إلى أقصى مداه، فلم يقف عند حد التساؤل عن موضوعات المعرفة، بل تعداه إلى التساؤل عن شرائط المعرفة، جاعلا العقل نفسه موضع تساؤل </w:t>
      </w:r>
      <w:r w:rsidRPr="00DE7762">
        <w:rPr>
          <w:color w:val="92D050"/>
          <w:sz w:val="32"/>
          <w:szCs w:val="32"/>
          <w:rtl/>
          <w:lang w:val="fr-FR" w:bidi="ar-MA"/>
        </w:rPr>
        <w:t>–</w:t>
      </w:r>
      <w:r w:rsidRPr="00DE7762">
        <w:rPr>
          <w:rFonts w:hint="cs"/>
          <w:color w:val="92D050"/>
          <w:sz w:val="32"/>
          <w:szCs w:val="32"/>
          <w:rtl/>
          <w:lang w:val="fr-FR" w:bidi="ar-MA"/>
        </w:rPr>
        <w:t xml:space="preserve"> لا المعارف التي يوصل أليها فحسب </w:t>
      </w:r>
      <w:r w:rsidRPr="00DE7762">
        <w:rPr>
          <w:color w:val="92D050"/>
          <w:sz w:val="32"/>
          <w:szCs w:val="32"/>
          <w:rtl/>
          <w:lang w:val="fr-FR" w:bidi="ar-MA"/>
        </w:rPr>
        <w:t>–</w:t>
      </w:r>
      <w:r w:rsidRPr="00DE7762">
        <w:rPr>
          <w:rFonts w:hint="cs"/>
          <w:color w:val="92D050"/>
          <w:sz w:val="32"/>
          <w:szCs w:val="32"/>
          <w:rtl/>
          <w:lang w:val="fr-FR" w:bidi="ar-MA"/>
        </w:rPr>
        <w:t xml:space="preserve"> حتى سمي قرنه بقرن النقد، و أخد الفلاسفة من بعده يحتدون إلى يومنا هدا حدوه في كل ما يخوضون فيه من الموضوعات، ويشتغلون به من المشكلات إلى أن أضحت هده الممارسة النقدية تشمل كل شئ ولا تستثني إلا نفسها، وأضحينا معها لا نكاد نحصي الأعمال التي تحمل في عنوانها لفظ " النقد".</w:t>
      </w:r>
    </w:p>
    <w:p w:rsidR="00DE7762" w:rsidRPr="00DE7762" w:rsidRDefault="00DE7762" w:rsidP="00DE7762">
      <w:pPr>
        <w:bidi/>
        <w:spacing w:line="276" w:lineRule="auto"/>
        <w:jc w:val="both"/>
        <w:rPr>
          <w:color w:val="92D050"/>
          <w:sz w:val="32"/>
          <w:szCs w:val="32"/>
          <w:rtl/>
          <w:lang w:val="fr-FR" w:bidi="ar-MA"/>
        </w:rPr>
      </w:pPr>
    </w:p>
    <w:p w:rsidR="00F9601E" w:rsidRPr="00DE7762" w:rsidRDefault="00F9601E" w:rsidP="00DE7762">
      <w:pPr>
        <w:bidi/>
        <w:spacing w:line="276" w:lineRule="auto"/>
        <w:jc w:val="center"/>
        <w:rPr>
          <w:color w:val="92D050"/>
          <w:sz w:val="32"/>
          <w:szCs w:val="32"/>
          <w:lang w:val="fr-FR" w:bidi="ar-MA"/>
        </w:rPr>
      </w:pPr>
      <w:r w:rsidRPr="00DE7762">
        <w:rPr>
          <w:rFonts w:hint="cs"/>
          <w:color w:val="92D050"/>
          <w:sz w:val="32"/>
          <w:szCs w:val="32"/>
          <w:rtl/>
          <w:lang w:val="fr-FR" w:bidi="ar-MA"/>
        </w:rPr>
        <w:t xml:space="preserve">طه عبد الرحمان، </w:t>
      </w:r>
      <w:r w:rsidRPr="00DE7762">
        <w:rPr>
          <w:rFonts w:hint="cs"/>
          <w:b/>
          <w:bCs/>
          <w:color w:val="92D050"/>
          <w:sz w:val="32"/>
          <w:szCs w:val="32"/>
          <w:rtl/>
          <w:lang w:val="fr-FR" w:bidi="ar-MA"/>
        </w:rPr>
        <w:t xml:space="preserve">الحق العربي في الاختلاف الفلسفي، </w:t>
      </w:r>
      <w:r w:rsidRPr="00DE7762">
        <w:rPr>
          <w:rFonts w:hint="cs"/>
          <w:color w:val="92D050"/>
          <w:sz w:val="32"/>
          <w:szCs w:val="32"/>
          <w:rtl/>
          <w:lang w:val="fr-FR" w:bidi="ar-MA"/>
        </w:rPr>
        <w:t>المركز الثقافي العربي، الطبعة الأولى، الدار البيضاء، 2002، صفحات </w:t>
      </w:r>
      <w:r w:rsidRPr="00DE7762">
        <w:rPr>
          <w:color w:val="92D050"/>
          <w:sz w:val="32"/>
          <w:szCs w:val="32"/>
          <w:lang w:val="fr-FR" w:bidi="ar-MA"/>
        </w:rPr>
        <w:t>:</w:t>
      </w:r>
      <w:r w:rsidRPr="00DE7762">
        <w:rPr>
          <w:rFonts w:hint="cs"/>
          <w:color w:val="92D050"/>
          <w:sz w:val="32"/>
          <w:szCs w:val="32"/>
          <w:rtl/>
          <w:lang w:val="fr-FR" w:bidi="ar-MA"/>
        </w:rPr>
        <w:t xml:space="preserve"> 13-14.</w:t>
      </w:r>
    </w:p>
    <w:p w:rsidR="00F9601E" w:rsidRPr="00DE7762" w:rsidRDefault="00F9601E" w:rsidP="00DE7762">
      <w:pPr>
        <w:bidi/>
        <w:spacing w:line="276" w:lineRule="auto"/>
        <w:jc w:val="both"/>
        <w:rPr>
          <w:color w:val="92D050"/>
          <w:sz w:val="32"/>
          <w:szCs w:val="32"/>
          <w:lang w:val="fr-FR" w:bidi="ar-MA"/>
        </w:rPr>
      </w:pPr>
    </w:p>
    <w:p w:rsidR="00F9601E" w:rsidRPr="00DE7762" w:rsidRDefault="00F9601E" w:rsidP="00DE7762">
      <w:pPr>
        <w:bidi/>
        <w:spacing w:line="276" w:lineRule="auto"/>
        <w:jc w:val="both"/>
        <w:rPr>
          <w:color w:val="92D050"/>
          <w:sz w:val="32"/>
          <w:szCs w:val="32"/>
          <w:lang w:val="fr-FR" w:bidi="ar-MA"/>
        </w:rPr>
      </w:pPr>
    </w:p>
    <w:p w:rsidR="00F9601E" w:rsidRPr="00DE7762" w:rsidRDefault="00F9601E" w:rsidP="00DE7762">
      <w:pPr>
        <w:bidi/>
        <w:spacing w:line="276" w:lineRule="auto"/>
        <w:jc w:val="both"/>
        <w:rPr>
          <w:color w:val="92D050"/>
          <w:sz w:val="32"/>
          <w:szCs w:val="32"/>
          <w:lang w:val="fr-FR" w:bidi="ar-MA"/>
        </w:rPr>
      </w:pPr>
    </w:p>
    <w:p w:rsidR="004C77FD" w:rsidRPr="00DE7762" w:rsidRDefault="004C77FD" w:rsidP="00DE7762">
      <w:pPr>
        <w:spacing w:line="276" w:lineRule="auto"/>
        <w:rPr>
          <w:color w:val="92D050"/>
          <w:sz w:val="32"/>
          <w:szCs w:val="32"/>
          <w:lang w:val="fr-FR"/>
        </w:rPr>
      </w:pPr>
    </w:p>
    <w:sectPr w:rsidR="004C77FD" w:rsidRPr="00DE7762"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1AE" w:rsidRDefault="009011AE" w:rsidP="00DE7762">
      <w:r>
        <w:separator/>
      </w:r>
    </w:p>
  </w:endnote>
  <w:endnote w:type="continuationSeparator" w:id="0">
    <w:p w:rsidR="009011AE" w:rsidRDefault="009011AE" w:rsidP="00DE77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62" w:rsidRDefault="00DE776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62" w:rsidRDefault="00DE776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62" w:rsidRDefault="00DE77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1AE" w:rsidRDefault="009011AE" w:rsidP="00DE7762">
      <w:r>
        <w:separator/>
      </w:r>
    </w:p>
  </w:footnote>
  <w:footnote w:type="continuationSeparator" w:id="0">
    <w:p w:rsidR="009011AE" w:rsidRDefault="009011AE" w:rsidP="00DE7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62" w:rsidRDefault="00DE776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6579" o:spid="_x0000_s3074" type="#_x0000_t136" style="position:absolute;margin-left:0;margin-top:0;width:559.5pt;height:79.9pt;rotation:315;z-index:-251654144;mso-position-horizontal:center;mso-position-horizontal-relative:margin;mso-position-vertical:center;mso-position-vertical-relative:margin" o:allowincell="f" fillcolor="yellow" stroked="f">
          <v:fill opacity=".5"/>
          <v:textpath style="font-family:&quot;Times New Roman&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62" w:rsidRDefault="00DE776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6580" o:spid="_x0000_s3075" type="#_x0000_t136" style="position:absolute;margin-left:0;margin-top:0;width:559.5pt;height:79.9pt;rotation:315;z-index:-251652096;mso-position-horizontal:center;mso-position-horizontal-relative:margin;mso-position-vertical:center;mso-position-vertical-relative:margin" o:allowincell="f" fillcolor="yellow" stroked="f">
          <v:fill opacity=".5"/>
          <v:textpath style="font-family:&quot;Times New Roman&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62" w:rsidRDefault="00DE776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6578" o:spid="_x0000_s3073" type="#_x0000_t136" style="position:absolute;margin-left:0;margin-top:0;width:559.5pt;height:79.9pt;rotation:315;z-index:-251656192;mso-position-horizontal:center;mso-position-horizontal-relative:margin;mso-position-vertical:center;mso-position-vertical-relative:margin" o:allowincell="f" fillcolor="yellow" stroked="f">
          <v:fill opacity=".5"/>
          <v:textpath style="font-family:&quot;Times New Roman&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none [1608]"/>
    </o:shapedefaults>
    <o:shapelayout v:ext="edit">
      <o:idmap v:ext="edit" data="3"/>
    </o:shapelayout>
  </w:hdrShapeDefaults>
  <w:footnotePr>
    <w:footnote w:id="-1"/>
    <w:footnote w:id="0"/>
  </w:footnotePr>
  <w:endnotePr>
    <w:endnote w:id="-1"/>
    <w:endnote w:id="0"/>
  </w:endnotePr>
  <w:compat/>
  <w:rsids>
    <w:rsidRoot w:val="00F9601E"/>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054A"/>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AE"/>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773"/>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E7762"/>
    <w:rsid w:val="00DF0AC4"/>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01E"/>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1E"/>
    <w:pPr>
      <w:spacing w:after="0" w:line="240" w:lineRule="auto"/>
    </w:pPr>
    <w:rPr>
      <w:rFonts w:ascii="Times New Roman" w:eastAsia="SimSun" w:hAnsi="Times New Roman" w:cs="Times New Roman"/>
      <w:sz w:val="24"/>
      <w:szCs w:val="24"/>
      <w:lang w:val="fr-CA"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E7762"/>
    <w:pPr>
      <w:tabs>
        <w:tab w:val="center" w:pos="4536"/>
        <w:tab w:val="right" w:pos="9072"/>
      </w:tabs>
    </w:pPr>
  </w:style>
  <w:style w:type="character" w:customStyle="1" w:styleId="En-tteCar">
    <w:name w:val="En-tête Car"/>
    <w:basedOn w:val="Policepardfaut"/>
    <w:link w:val="En-tte"/>
    <w:uiPriority w:val="99"/>
    <w:semiHidden/>
    <w:rsid w:val="00DE7762"/>
    <w:rPr>
      <w:rFonts w:ascii="Times New Roman" w:eastAsia="SimSun" w:hAnsi="Times New Roman" w:cs="Times New Roman"/>
      <w:sz w:val="24"/>
      <w:szCs w:val="24"/>
      <w:lang w:val="fr-CA" w:eastAsia="zh-CN"/>
    </w:rPr>
  </w:style>
  <w:style w:type="paragraph" w:styleId="Pieddepage">
    <w:name w:val="footer"/>
    <w:basedOn w:val="Normal"/>
    <w:link w:val="PieddepageCar"/>
    <w:uiPriority w:val="99"/>
    <w:semiHidden/>
    <w:unhideWhenUsed/>
    <w:rsid w:val="00DE7762"/>
    <w:pPr>
      <w:tabs>
        <w:tab w:val="center" w:pos="4536"/>
        <w:tab w:val="right" w:pos="9072"/>
      </w:tabs>
    </w:pPr>
  </w:style>
  <w:style w:type="character" w:customStyle="1" w:styleId="PieddepageCar">
    <w:name w:val="Pied de page Car"/>
    <w:basedOn w:val="Policepardfaut"/>
    <w:link w:val="Pieddepage"/>
    <w:uiPriority w:val="99"/>
    <w:semiHidden/>
    <w:rsid w:val="00DE7762"/>
    <w:rPr>
      <w:rFonts w:ascii="Times New Roman" w:eastAsia="SimSun" w:hAnsi="Times New Roman" w:cs="Times New Roman"/>
      <w:sz w:val="24"/>
      <w:szCs w:val="24"/>
      <w:lang w:val="fr-C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1674</Characters>
  <Application>Microsoft Office Word</Application>
  <DocSecurity>0</DocSecurity>
  <Lines>13</Lines>
  <Paragraphs>3</Paragraphs>
  <ScaleCrop>false</ScaleCrop>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2</cp:revision>
  <dcterms:created xsi:type="dcterms:W3CDTF">2013-04-27T20:57:00Z</dcterms:created>
  <dcterms:modified xsi:type="dcterms:W3CDTF">2013-04-27T22:27:00Z</dcterms:modified>
</cp:coreProperties>
</file>